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9F5" w:rsidRDefault="009E69F5">
      <w:r>
        <w:t>Infographic consisting of a long, narrow document consisting of a series of square text and image boxes, each conveying a separate idea.]</w:t>
      </w:r>
    </w:p>
    <w:p w:rsidR="009E69F5" w:rsidRDefault="009E69F5">
      <w:r>
        <w:t>Box 1: text only</w:t>
      </w:r>
    </w:p>
    <w:p w:rsidR="007570B8" w:rsidRDefault="009E69F5">
      <w:r>
        <w:t>H</w:t>
      </w:r>
      <w:r w:rsidR="00732373">
        <w:t>.R.</w:t>
      </w:r>
      <w:r>
        <w:t xml:space="preserve"> 620 = Amnesty for Access Violators</w:t>
      </w:r>
    </w:p>
    <w:p w:rsidR="009E69F5" w:rsidRPr="009E69F5" w:rsidRDefault="009E69F5" w:rsidP="009E69F5">
      <w:r w:rsidRPr="009E69F5">
        <w:t xml:space="preserve">The Americans with Disabilities Act has been the law of the land since 1990.  </w:t>
      </w:r>
    </w:p>
    <w:p w:rsidR="009E69F5" w:rsidRDefault="00732373" w:rsidP="009E69F5">
      <w:r>
        <w:t>H.R.</w:t>
      </w:r>
      <w:bookmarkStart w:id="0" w:name="_GoBack"/>
      <w:bookmarkEnd w:id="0"/>
      <w:r w:rsidR="009E69F5" w:rsidRPr="009E69F5">
        <w:t xml:space="preserve"> 620 will absolve the scofflaws who have ignored the law for 28 years ... and reward them with</w:t>
      </w:r>
      <w:r w:rsidR="009E69F5">
        <w:t xml:space="preserve"> </w:t>
      </w:r>
      <w:r w:rsidR="009E69F5" w:rsidRPr="009E69F5">
        <w:t>an indefinite extension to comply with the law.</w:t>
      </w:r>
    </w:p>
    <w:p w:rsidR="009E69F5" w:rsidRDefault="009E69F5" w:rsidP="009E69F5">
      <w:r>
        <w:t>Box 2:  text and images</w:t>
      </w:r>
    </w:p>
    <w:p w:rsidR="009E69F5" w:rsidRDefault="009E69F5" w:rsidP="009E69F5">
      <w:r w:rsidRPr="009E69F5">
        <w:t>ADA Title III Timeline</w:t>
      </w:r>
      <w:r>
        <w:t xml:space="preserve"> </w:t>
      </w:r>
    </w:p>
    <w:p w:rsidR="009E69F5" w:rsidRDefault="009E69F5" w:rsidP="009E69F5">
      <w:r>
        <w:t>[Image: timeline consists of a series of circles, each containing a year, joined by a vertical white line.  Each circle has a text box next to it containing a description.]</w:t>
      </w:r>
    </w:p>
    <w:p w:rsidR="009E69F5" w:rsidRDefault="009E69F5" w:rsidP="009E69F5">
      <w:r>
        <w:t xml:space="preserve">1990:  </w:t>
      </w:r>
      <w:r w:rsidRPr="009E69F5">
        <w:t>ADA signed into law by George H.W. Bush</w:t>
      </w:r>
      <w:r>
        <w:t>.</w:t>
      </w:r>
    </w:p>
    <w:p w:rsidR="009E69F5" w:rsidRDefault="009E69F5" w:rsidP="009E69F5">
      <w:r>
        <w:t>1991:  ADA design standards (ADAAG) published.</w:t>
      </w:r>
    </w:p>
    <w:p w:rsidR="009E69F5" w:rsidRDefault="009E69F5" w:rsidP="009E69F5">
      <w:r>
        <w:t>1992:  Alterations must comply and barriers removed* in large businesses.</w:t>
      </w:r>
    </w:p>
    <w:p w:rsidR="009E69F5" w:rsidRDefault="009E69F5" w:rsidP="009E69F5">
      <w:r>
        <w:t xml:space="preserve">1993:  New construction </w:t>
      </w:r>
      <w:r w:rsidRPr="009E69F5">
        <w:t>must comply and barriers removed</w:t>
      </w:r>
      <w:r>
        <w:t>*</w:t>
      </w:r>
      <w:r w:rsidRPr="009E69F5">
        <w:t xml:space="preserve"> in </w:t>
      </w:r>
      <w:r>
        <w:t xml:space="preserve">smaller </w:t>
      </w:r>
      <w:r w:rsidRPr="009E69F5">
        <w:t>businesses.</w:t>
      </w:r>
    </w:p>
    <w:p w:rsidR="009E69F5" w:rsidRDefault="009E69F5" w:rsidP="009E69F5">
      <w:r>
        <w:t>*</w:t>
      </w:r>
      <w:r w:rsidRPr="009E69F5">
        <w:t>Barriers only need to be removed where “readily achievable” considering cost.</w:t>
      </w:r>
    </w:p>
    <w:p w:rsidR="009E69F5" w:rsidRDefault="009E69F5" w:rsidP="009E69F5">
      <w:r>
        <w:t xml:space="preserve">[Image: the white line that connected circles (with years) continues down the right margin of the graphic through the next 2 </w:t>
      </w:r>
      <w:r w:rsidR="00066D76">
        <w:t>boxes</w:t>
      </w:r>
      <w:r>
        <w:t>.</w:t>
      </w:r>
      <w:r w:rsidR="00066D76">
        <w:t xml:space="preserve">  Text next to the line along the right margin reads, “</w:t>
      </w:r>
      <w:r w:rsidR="00066D76" w:rsidRPr="00066D76">
        <w:t>This line represents the continuing passage of time between 1993 and the time, possibly far in the future, when businesses will come into compliance with Title III of the ADA.</w:t>
      </w:r>
      <w:r w:rsidR="00066D76">
        <w:t>”</w:t>
      </w:r>
      <w:r>
        <w:t>]</w:t>
      </w:r>
    </w:p>
    <w:p w:rsidR="00066D76" w:rsidRDefault="00066D76" w:rsidP="009E69F5">
      <w:r>
        <w:t xml:space="preserve">Box 3: </w:t>
      </w:r>
      <w:r w:rsidRPr="00066D76">
        <w:t>Remember all those ADA case statistics that businesses think are so scary?</w:t>
      </w:r>
      <w:r>
        <w:t xml:space="preserve">  </w:t>
      </w:r>
      <w:r w:rsidRPr="00066D76">
        <w:t>Not so much.</w:t>
      </w:r>
      <w:r>
        <w:t xml:space="preserve">  [Image: arrow pointing to the line graph described below.]</w:t>
      </w:r>
    </w:p>
    <w:p w:rsidR="009E69F5" w:rsidRDefault="009E69F5" w:rsidP="009E69F5">
      <w:r>
        <w:t>[</w:t>
      </w:r>
      <w:r w:rsidRPr="009E69F5">
        <w:t xml:space="preserve">Image: </w:t>
      </w:r>
      <w:r w:rsidR="00066D76">
        <w:t xml:space="preserve"> </w:t>
      </w:r>
      <w:r w:rsidRPr="009E69F5">
        <w:t xml:space="preserve">a line graph </w:t>
      </w:r>
      <w:r w:rsidR="00066D76">
        <w:t xml:space="preserve">titled “Case statistics by type 2006-2016,” </w:t>
      </w:r>
      <w:r w:rsidRPr="009E69F5">
        <w:t>with the years 2006 to 2016 on the x axis and numbers 10,000 to 100,000 on the y axis. 7 colored lines cross the graph horizontally, each representing a type of case. The top line is a jagged line representing tort cases (varying between 50,000 and 90,000</w:t>
      </w:r>
      <w:r>
        <w:t>)</w:t>
      </w:r>
      <w:r w:rsidRPr="009E69F5">
        <w:t>. The bottom line is "ADA - Other" vary from 1,400 to about 7,000.</w:t>
      </w:r>
      <w:r>
        <w:t xml:space="preserve">  The table below contain</w:t>
      </w:r>
      <w:r w:rsidR="00066D76">
        <w:t>s the data in the chart.]</w:t>
      </w:r>
    </w:p>
    <w:p w:rsidR="00066D76" w:rsidRDefault="00066D76">
      <w:pPr>
        <w:rPr>
          <w:sz w:val="16"/>
          <w:szCs w:val="16"/>
        </w:rPr>
      </w:pPr>
      <w:r>
        <w:rPr>
          <w:sz w:val="16"/>
          <w:szCs w:val="16"/>
        </w:rPr>
        <w:lastRenderedPageBreak/>
        <w:br w:type="page"/>
      </w:r>
    </w:p>
    <w:p w:rsidR="00066D76" w:rsidRDefault="00066D76" w:rsidP="009E69F5">
      <w:pPr>
        <w:rPr>
          <w:sz w:val="16"/>
          <w:szCs w:val="16"/>
        </w:rPr>
        <w:sectPr w:rsidR="00066D76" w:rsidSect="00066D76">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094"/>
        <w:gridCol w:w="1464"/>
        <w:gridCol w:w="1278"/>
        <w:gridCol w:w="1278"/>
        <w:gridCol w:w="1278"/>
        <w:gridCol w:w="944"/>
        <w:gridCol w:w="944"/>
        <w:gridCol w:w="1130"/>
        <w:gridCol w:w="981"/>
        <w:gridCol w:w="981"/>
        <w:gridCol w:w="981"/>
        <w:gridCol w:w="1037"/>
      </w:tblGrid>
      <w:tr w:rsidR="00066D76" w:rsidRPr="00066D76" w:rsidTr="00066D76">
        <w:trPr>
          <w:trHeight w:val="288"/>
        </w:trPr>
        <w:tc>
          <w:tcPr>
            <w:tcW w:w="2240" w:type="dxa"/>
            <w:noWrap/>
            <w:hideMark/>
          </w:tcPr>
          <w:p w:rsidR="00066D76" w:rsidRPr="00066D76" w:rsidRDefault="00066D76" w:rsidP="00066D76">
            <w:pPr>
              <w:spacing w:after="160" w:line="259" w:lineRule="auto"/>
              <w:rPr>
                <w:b/>
                <w:bCs/>
                <w:sz w:val="16"/>
                <w:szCs w:val="16"/>
              </w:rPr>
            </w:pPr>
            <w:r w:rsidRPr="00066D76">
              <w:rPr>
                <w:b/>
                <w:bCs/>
                <w:sz w:val="16"/>
                <w:szCs w:val="16"/>
              </w:rPr>
              <w:lastRenderedPageBreak/>
              <w:t>Category</w:t>
            </w:r>
          </w:p>
        </w:tc>
        <w:tc>
          <w:tcPr>
            <w:tcW w:w="1560" w:type="dxa"/>
            <w:noWrap/>
            <w:hideMark/>
          </w:tcPr>
          <w:p w:rsidR="00066D76" w:rsidRPr="00066D76" w:rsidRDefault="00066D76" w:rsidP="00066D76">
            <w:pPr>
              <w:spacing w:after="160" w:line="259" w:lineRule="auto"/>
              <w:rPr>
                <w:b/>
                <w:bCs/>
                <w:sz w:val="16"/>
                <w:szCs w:val="16"/>
              </w:rPr>
            </w:pPr>
            <w:r w:rsidRPr="00066D76">
              <w:rPr>
                <w:b/>
                <w:bCs/>
                <w:sz w:val="16"/>
                <w:szCs w:val="16"/>
              </w:rPr>
              <w:t>2006</w:t>
            </w:r>
          </w:p>
        </w:tc>
        <w:tc>
          <w:tcPr>
            <w:tcW w:w="1360" w:type="dxa"/>
            <w:noWrap/>
            <w:hideMark/>
          </w:tcPr>
          <w:p w:rsidR="00066D76" w:rsidRPr="00066D76" w:rsidRDefault="00066D76" w:rsidP="00066D76">
            <w:pPr>
              <w:spacing w:after="160" w:line="259" w:lineRule="auto"/>
              <w:rPr>
                <w:b/>
                <w:bCs/>
                <w:sz w:val="16"/>
                <w:szCs w:val="16"/>
              </w:rPr>
            </w:pPr>
            <w:r w:rsidRPr="00066D76">
              <w:rPr>
                <w:b/>
                <w:bCs/>
                <w:sz w:val="16"/>
                <w:szCs w:val="16"/>
              </w:rPr>
              <w:t>2007</w:t>
            </w:r>
          </w:p>
        </w:tc>
        <w:tc>
          <w:tcPr>
            <w:tcW w:w="1360" w:type="dxa"/>
            <w:noWrap/>
            <w:hideMark/>
          </w:tcPr>
          <w:p w:rsidR="00066D76" w:rsidRPr="00066D76" w:rsidRDefault="00066D76" w:rsidP="00066D76">
            <w:pPr>
              <w:spacing w:after="160" w:line="259" w:lineRule="auto"/>
              <w:rPr>
                <w:b/>
                <w:bCs/>
                <w:sz w:val="16"/>
                <w:szCs w:val="16"/>
              </w:rPr>
            </w:pPr>
            <w:r w:rsidRPr="00066D76">
              <w:rPr>
                <w:b/>
                <w:bCs/>
                <w:sz w:val="16"/>
                <w:szCs w:val="16"/>
              </w:rPr>
              <w:t>2008</w:t>
            </w:r>
          </w:p>
        </w:tc>
        <w:tc>
          <w:tcPr>
            <w:tcW w:w="1360" w:type="dxa"/>
            <w:noWrap/>
            <w:hideMark/>
          </w:tcPr>
          <w:p w:rsidR="00066D76" w:rsidRPr="00066D76" w:rsidRDefault="00066D76" w:rsidP="00066D76">
            <w:pPr>
              <w:spacing w:after="160" w:line="259" w:lineRule="auto"/>
              <w:rPr>
                <w:b/>
                <w:bCs/>
                <w:sz w:val="16"/>
                <w:szCs w:val="16"/>
              </w:rPr>
            </w:pPr>
            <w:r w:rsidRPr="00066D76">
              <w:rPr>
                <w:b/>
                <w:bCs/>
                <w:sz w:val="16"/>
                <w:szCs w:val="16"/>
              </w:rPr>
              <w:t>2009</w:t>
            </w:r>
          </w:p>
        </w:tc>
        <w:tc>
          <w:tcPr>
            <w:tcW w:w="1000" w:type="dxa"/>
            <w:noWrap/>
            <w:hideMark/>
          </w:tcPr>
          <w:p w:rsidR="00066D76" w:rsidRPr="00066D76" w:rsidRDefault="00066D76" w:rsidP="00066D76">
            <w:pPr>
              <w:spacing w:after="160" w:line="259" w:lineRule="auto"/>
              <w:rPr>
                <w:b/>
                <w:bCs/>
                <w:sz w:val="16"/>
                <w:szCs w:val="16"/>
              </w:rPr>
            </w:pPr>
            <w:r w:rsidRPr="00066D76">
              <w:rPr>
                <w:b/>
                <w:bCs/>
                <w:sz w:val="16"/>
                <w:szCs w:val="16"/>
              </w:rPr>
              <w:t>2010</w:t>
            </w:r>
          </w:p>
        </w:tc>
        <w:tc>
          <w:tcPr>
            <w:tcW w:w="1000" w:type="dxa"/>
            <w:noWrap/>
            <w:hideMark/>
          </w:tcPr>
          <w:p w:rsidR="00066D76" w:rsidRPr="00066D76" w:rsidRDefault="00066D76" w:rsidP="00066D76">
            <w:pPr>
              <w:spacing w:after="160" w:line="259" w:lineRule="auto"/>
              <w:rPr>
                <w:b/>
                <w:bCs/>
                <w:sz w:val="16"/>
                <w:szCs w:val="16"/>
              </w:rPr>
            </w:pPr>
            <w:r w:rsidRPr="00066D76">
              <w:rPr>
                <w:b/>
                <w:bCs/>
                <w:sz w:val="16"/>
                <w:szCs w:val="16"/>
              </w:rPr>
              <w:t>2011</w:t>
            </w:r>
          </w:p>
        </w:tc>
        <w:tc>
          <w:tcPr>
            <w:tcW w:w="1200" w:type="dxa"/>
            <w:noWrap/>
            <w:hideMark/>
          </w:tcPr>
          <w:p w:rsidR="00066D76" w:rsidRPr="00066D76" w:rsidRDefault="00066D76" w:rsidP="00066D76">
            <w:pPr>
              <w:spacing w:after="160" w:line="259" w:lineRule="auto"/>
              <w:rPr>
                <w:b/>
                <w:bCs/>
                <w:sz w:val="16"/>
                <w:szCs w:val="16"/>
              </w:rPr>
            </w:pPr>
            <w:r w:rsidRPr="00066D76">
              <w:rPr>
                <w:b/>
                <w:bCs/>
                <w:sz w:val="16"/>
                <w:szCs w:val="16"/>
              </w:rPr>
              <w:t>2012</w:t>
            </w:r>
          </w:p>
        </w:tc>
        <w:tc>
          <w:tcPr>
            <w:tcW w:w="1040" w:type="dxa"/>
            <w:noWrap/>
            <w:hideMark/>
          </w:tcPr>
          <w:p w:rsidR="00066D76" w:rsidRPr="00066D76" w:rsidRDefault="00066D76" w:rsidP="00066D76">
            <w:pPr>
              <w:spacing w:after="160" w:line="259" w:lineRule="auto"/>
              <w:rPr>
                <w:b/>
                <w:bCs/>
                <w:sz w:val="16"/>
                <w:szCs w:val="16"/>
              </w:rPr>
            </w:pPr>
            <w:r w:rsidRPr="00066D76">
              <w:rPr>
                <w:b/>
                <w:bCs/>
                <w:sz w:val="16"/>
                <w:szCs w:val="16"/>
              </w:rPr>
              <w:t>2013</w:t>
            </w:r>
          </w:p>
        </w:tc>
        <w:tc>
          <w:tcPr>
            <w:tcW w:w="1040" w:type="dxa"/>
            <w:noWrap/>
            <w:hideMark/>
          </w:tcPr>
          <w:p w:rsidR="00066D76" w:rsidRPr="00066D76" w:rsidRDefault="00066D76" w:rsidP="00066D76">
            <w:pPr>
              <w:spacing w:after="160" w:line="259" w:lineRule="auto"/>
              <w:rPr>
                <w:b/>
                <w:bCs/>
                <w:sz w:val="16"/>
                <w:szCs w:val="16"/>
              </w:rPr>
            </w:pPr>
            <w:r w:rsidRPr="00066D76">
              <w:rPr>
                <w:b/>
                <w:bCs/>
                <w:sz w:val="16"/>
                <w:szCs w:val="16"/>
              </w:rPr>
              <w:t>2014</w:t>
            </w:r>
          </w:p>
        </w:tc>
        <w:tc>
          <w:tcPr>
            <w:tcW w:w="1040" w:type="dxa"/>
            <w:noWrap/>
            <w:hideMark/>
          </w:tcPr>
          <w:p w:rsidR="00066D76" w:rsidRPr="00066D76" w:rsidRDefault="00066D76" w:rsidP="00066D76">
            <w:pPr>
              <w:spacing w:after="160" w:line="259" w:lineRule="auto"/>
              <w:rPr>
                <w:b/>
                <w:bCs/>
                <w:sz w:val="16"/>
                <w:szCs w:val="16"/>
              </w:rPr>
            </w:pPr>
            <w:r w:rsidRPr="00066D76">
              <w:rPr>
                <w:b/>
                <w:bCs/>
                <w:sz w:val="16"/>
                <w:szCs w:val="16"/>
              </w:rPr>
              <w:t>2015</w:t>
            </w:r>
          </w:p>
        </w:tc>
        <w:tc>
          <w:tcPr>
            <w:tcW w:w="1100" w:type="dxa"/>
            <w:noWrap/>
            <w:hideMark/>
          </w:tcPr>
          <w:p w:rsidR="00066D76" w:rsidRPr="00066D76" w:rsidRDefault="00066D76" w:rsidP="00066D76">
            <w:pPr>
              <w:spacing w:after="160" w:line="259" w:lineRule="auto"/>
              <w:rPr>
                <w:b/>
                <w:bCs/>
                <w:sz w:val="16"/>
                <w:szCs w:val="16"/>
              </w:rPr>
            </w:pPr>
            <w:r w:rsidRPr="00066D76">
              <w:rPr>
                <w:b/>
                <w:bCs/>
                <w:sz w:val="16"/>
                <w:szCs w:val="16"/>
              </w:rPr>
              <w:t>2016</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Contract</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33,098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34,258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32,494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35,158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31,732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31,226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28,252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29,180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27,968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25,737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23,681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Tort</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74,234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50,944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72,555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79,904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88,754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78,142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51,860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75,171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75,623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67,410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61,310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Employment</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14,027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13,107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13,380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14,116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15,020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15,203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14,667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12,665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12,169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11,876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11,885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ADA - other</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1,400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1,283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1,730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2,022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2,455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2,877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3,005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3,217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4,920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5,335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7,219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Other civil rights</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15,494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15,224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15,365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15,648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15,727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16,327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16,616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15,675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15,981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16,273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14,941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Labor laws</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18,924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16,412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16,820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18,044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18,753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18,350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18,629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18,424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18,752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19,498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18,387 </w:t>
            </w:r>
          </w:p>
        </w:tc>
      </w:tr>
      <w:tr w:rsidR="00066D76" w:rsidRPr="00066D76" w:rsidTr="00066D76">
        <w:trPr>
          <w:trHeight w:val="288"/>
        </w:trPr>
        <w:tc>
          <w:tcPr>
            <w:tcW w:w="2240" w:type="dxa"/>
            <w:noWrap/>
            <w:hideMark/>
          </w:tcPr>
          <w:p w:rsidR="00066D76" w:rsidRPr="00066D76" w:rsidRDefault="00066D76" w:rsidP="00066D76">
            <w:pPr>
              <w:spacing w:after="160" w:line="259" w:lineRule="auto"/>
              <w:rPr>
                <w:sz w:val="16"/>
                <w:szCs w:val="16"/>
              </w:rPr>
            </w:pPr>
            <w:r w:rsidRPr="00066D76">
              <w:rPr>
                <w:sz w:val="16"/>
                <w:szCs w:val="16"/>
              </w:rPr>
              <w:t>Intellectual property</w:t>
            </w:r>
          </w:p>
        </w:tc>
        <w:tc>
          <w:tcPr>
            <w:tcW w:w="1560" w:type="dxa"/>
            <w:noWrap/>
            <w:hideMark/>
          </w:tcPr>
          <w:p w:rsidR="00066D76" w:rsidRPr="00066D76" w:rsidRDefault="00066D76" w:rsidP="00066D76">
            <w:pPr>
              <w:spacing w:after="160" w:line="259" w:lineRule="auto"/>
              <w:rPr>
                <w:sz w:val="16"/>
                <w:szCs w:val="16"/>
              </w:rPr>
            </w:pPr>
            <w:r w:rsidRPr="00066D76">
              <w:rPr>
                <w:sz w:val="16"/>
                <w:szCs w:val="16"/>
              </w:rPr>
              <w:t xml:space="preserve">                 11,499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10,474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9,315 </w:t>
            </w:r>
          </w:p>
        </w:tc>
        <w:tc>
          <w:tcPr>
            <w:tcW w:w="1360" w:type="dxa"/>
            <w:noWrap/>
            <w:hideMark/>
          </w:tcPr>
          <w:p w:rsidR="00066D76" w:rsidRPr="00066D76" w:rsidRDefault="00066D76" w:rsidP="00066D76">
            <w:pPr>
              <w:spacing w:after="160" w:line="259" w:lineRule="auto"/>
              <w:rPr>
                <w:sz w:val="16"/>
                <w:szCs w:val="16"/>
              </w:rPr>
            </w:pPr>
            <w:r w:rsidRPr="00066D76">
              <w:rPr>
                <w:sz w:val="16"/>
                <w:szCs w:val="16"/>
              </w:rPr>
              <w:t xml:space="preserve">               8,261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9,354 </w:t>
            </w:r>
          </w:p>
        </w:tc>
        <w:tc>
          <w:tcPr>
            <w:tcW w:w="1000" w:type="dxa"/>
            <w:noWrap/>
            <w:hideMark/>
          </w:tcPr>
          <w:p w:rsidR="00066D76" w:rsidRPr="00066D76" w:rsidRDefault="00066D76" w:rsidP="00066D76">
            <w:pPr>
              <w:spacing w:after="160" w:line="259" w:lineRule="auto"/>
              <w:rPr>
                <w:sz w:val="16"/>
                <w:szCs w:val="16"/>
              </w:rPr>
            </w:pPr>
            <w:r w:rsidRPr="00066D76">
              <w:rPr>
                <w:sz w:val="16"/>
                <w:szCs w:val="16"/>
              </w:rPr>
              <w:t xml:space="preserve">     10,070 </w:t>
            </w:r>
          </w:p>
        </w:tc>
        <w:tc>
          <w:tcPr>
            <w:tcW w:w="1200" w:type="dxa"/>
            <w:noWrap/>
            <w:hideMark/>
          </w:tcPr>
          <w:p w:rsidR="00066D76" w:rsidRPr="00066D76" w:rsidRDefault="00066D76" w:rsidP="00066D76">
            <w:pPr>
              <w:spacing w:after="160" w:line="259" w:lineRule="auto"/>
              <w:rPr>
                <w:sz w:val="16"/>
                <w:szCs w:val="16"/>
              </w:rPr>
            </w:pPr>
            <w:r w:rsidRPr="00066D76">
              <w:rPr>
                <w:sz w:val="16"/>
                <w:szCs w:val="16"/>
              </w:rPr>
              <w:t xml:space="preserve">         12,333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13,473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13,199 </w:t>
            </w:r>
          </w:p>
        </w:tc>
        <w:tc>
          <w:tcPr>
            <w:tcW w:w="1040" w:type="dxa"/>
            <w:noWrap/>
            <w:hideMark/>
          </w:tcPr>
          <w:p w:rsidR="00066D76" w:rsidRPr="00066D76" w:rsidRDefault="00066D76" w:rsidP="00066D76">
            <w:pPr>
              <w:spacing w:after="160" w:line="259" w:lineRule="auto"/>
              <w:rPr>
                <w:sz w:val="16"/>
                <w:szCs w:val="16"/>
              </w:rPr>
            </w:pPr>
            <w:r w:rsidRPr="00066D76">
              <w:rPr>
                <w:sz w:val="16"/>
                <w:szCs w:val="16"/>
              </w:rPr>
              <w:t xml:space="preserve">      14,088 </w:t>
            </w:r>
          </w:p>
        </w:tc>
        <w:tc>
          <w:tcPr>
            <w:tcW w:w="1100" w:type="dxa"/>
            <w:noWrap/>
            <w:hideMark/>
          </w:tcPr>
          <w:p w:rsidR="00066D76" w:rsidRPr="00066D76" w:rsidRDefault="00066D76" w:rsidP="00066D76">
            <w:pPr>
              <w:spacing w:after="160" w:line="259" w:lineRule="auto"/>
              <w:rPr>
                <w:sz w:val="16"/>
                <w:szCs w:val="16"/>
              </w:rPr>
            </w:pPr>
            <w:r w:rsidRPr="00066D76">
              <w:rPr>
                <w:sz w:val="16"/>
                <w:szCs w:val="16"/>
              </w:rPr>
              <w:t xml:space="preserve">       11,543 </w:t>
            </w:r>
          </w:p>
        </w:tc>
      </w:tr>
    </w:tbl>
    <w:p w:rsidR="00066D76" w:rsidRDefault="00066D76" w:rsidP="009E69F5">
      <w:pPr>
        <w:rPr>
          <w:sz w:val="16"/>
          <w:szCs w:val="16"/>
        </w:rPr>
      </w:pPr>
    </w:p>
    <w:p w:rsidR="00066D76" w:rsidRDefault="00066D76" w:rsidP="009E69F5">
      <w:pPr>
        <w:rPr>
          <w:sz w:val="16"/>
          <w:szCs w:val="16"/>
        </w:rPr>
        <w:sectPr w:rsidR="00066D76" w:rsidSect="00066D76">
          <w:type w:val="continuous"/>
          <w:pgSz w:w="15840" w:h="12240" w:orient="landscape"/>
          <w:pgMar w:top="720" w:right="720" w:bottom="720" w:left="720" w:header="720" w:footer="720" w:gutter="0"/>
          <w:cols w:space="720"/>
          <w:docGrid w:linePitch="360"/>
        </w:sectPr>
      </w:pPr>
    </w:p>
    <w:p w:rsidR="00066D76" w:rsidRDefault="00066D76" w:rsidP="009E69F5">
      <w:pPr>
        <w:rPr>
          <w:sz w:val="24"/>
          <w:szCs w:val="24"/>
        </w:rPr>
      </w:pPr>
      <w:r>
        <w:rPr>
          <w:sz w:val="24"/>
          <w:szCs w:val="24"/>
        </w:rPr>
        <w:t xml:space="preserve">Box 4: </w:t>
      </w:r>
    </w:p>
    <w:p w:rsidR="00066D76" w:rsidRPr="00066D76" w:rsidRDefault="00066D76" w:rsidP="009E69F5">
      <w:pPr>
        <w:rPr>
          <w:sz w:val="24"/>
          <w:szCs w:val="24"/>
        </w:rPr>
      </w:pPr>
      <w:r w:rsidRPr="00066D76">
        <w:rPr>
          <w:sz w:val="24"/>
          <w:szCs w:val="24"/>
        </w:rPr>
        <w:t>Enforcement by Civil Rights Plaintiffs is a Feature, not a Bug</w:t>
      </w:r>
    </w:p>
    <w:p w:rsidR="009E69F5" w:rsidRDefault="00066D76" w:rsidP="00066D76">
      <w:r>
        <w:t xml:space="preserve">[Text box] </w:t>
      </w:r>
      <w:r w:rsidRPr="00066D76">
        <w:t>“When the Civil Rights Act of 1964 was passed, it was evident that enforcement would prove difficult and that the Nation would have to rely in part upon private litigation as a means of securing broad compliance with the law. A Title II suit is thus private in form only. When a plaintiff brings an action under that Title, he cannot recover damages. If he obtains an injunction, he does so not for himself alone but also as a ‘private attorney general,’ vindicating a policy that Congress considered of the highest priority.”</w:t>
      </w:r>
      <w:r>
        <w:t xml:space="preserve">  </w:t>
      </w:r>
      <w:r w:rsidRPr="00066D76">
        <w:t xml:space="preserve">Newman v. </w:t>
      </w:r>
      <w:proofErr w:type="spellStart"/>
      <w:r w:rsidRPr="00066D76">
        <w:t>Piggie</w:t>
      </w:r>
      <w:proofErr w:type="spellEnd"/>
      <w:r w:rsidRPr="00066D76">
        <w:t xml:space="preserve"> Park Enters., Inc., 390 U.S. 400, 401–02 (1968)</w:t>
      </w:r>
      <w:r>
        <w:t>.</w:t>
      </w:r>
    </w:p>
    <w:p w:rsidR="00066D76" w:rsidRDefault="00066D76" w:rsidP="00066D76">
      <w:r>
        <w:t xml:space="preserve">[Text box] </w:t>
      </w:r>
      <w:r w:rsidRPr="00066D76">
        <w:t xml:space="preserve">Title III of the ADA adopted the enforcement mechanism of Title II of the Civil Rights Act, bringing with it the Congressional intent to use private plaintiffs to ensure broad enforcement of the law.   </w:t>
      </w:r>
    </w:p>
    <w:p w:rsidR="00066D76" w:rsidRDefault="00066D76" w:rsidP="00066D76">
      <w:r>
        <w:t>[Image:  The words Title II in the first text box and Title III in the second text box are circled and joined by a double arrow.]</w:t>
      </w:r>
    </w:p>
    <w:p w:rsidR="00066D76" w:rsidRDefault="00066D76" w:rsidP="00066D76">
      <w:r>
        <w:t>Box 5:  [The timeline continues]</w:t>
      </w:r>
    </w:p>
    <w:p w:rsidR="00066D76" w:rsidRDefault="00066D76" w:rsidP="00066D76">
      <w:r>
        <w:t xml:space="preserve">2018? </w:t>
      </w:r>
      <w:r w:rsidRPr="00066D76">
        <w:t>HR 620 Absolves Businesses  of Prior Violations; May Wait for Notice.</w:t>
      </w:r>
    </w:p>
    <w:p w:rsidR="00066D76" w:rsidRDefault="00066D76" w:rsidP="00066D76">
      <w:r>
        <w:t xml:space="preserve">????  </w:t>
      </w:r>
      <w:r w:rsidRPr="00066D76">
        <w:t>Disabled customer finally has time and resources to retain a lawyer and write legally mandated notice.</w:t>
      </w:r>
    </w:p>
    <w:p w:rsidR="00066D76" w:rsidRDefault="00066D76" w:rsidP="00066D76">
      <w:r>
        <w:t>[Image/text:  arrow to the line connecting 2018 to ???? and text reading “</w:t>
      </w:r>
      <w:r w:rsidRPr="00066D76">
        <w:t>Possibly very long time until disabled person has time and resources to retain a lawyer to write the legally mandated notice.</w:t>
      </w:r>
      <w:r>
        <w:t>”</w:t>
      </w:r>
    </w:p>
    <w:p w:rsidR="00066D76" w:rsidRDefault="00383CDB" w:rsidP="00066D76">
      <w:r>
        <w:t>[Final timeline entries</w:t>
      </w:r>
      <w:r w:rsidR="00066D76">
        <w:t xml:space="preserve">]  ???? + 6 months:  </w:t>
      </w:r>
      <w:r w:rsidR="00066D76" w:rsidRPr="00066D76">
        <w:t xml:space="preserve">That One (1) Business </w:t>
      </w:r>
      <w:r w:rsidR="00CD6928">
        <w:t xml:space="preserve">is </w:t>
      </w:r>
      <w:r w:rsidR="00066D76" w:rsidRPr="00066D76">
        <w:t>Finally Required to Comply with 1990 Statute.</w:t>
      </w:r>
      <w:r>
        <w:t xml:space="preserve">  The rest remain inaccessible, waiting for their notice.</w:t>
      </w:r>
      <w:r w:rsidR="00CD6928">
        <w:t xml:space="preserve"> . . . </w:t>
      </w:r>
    </w:p>
    <w:sectPr w:rsidR="00066D76" w:rsidSect="00066D7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F51"/>
    <w:multiLevelType w:val="hybridMultilevel"/>
    <w:tmpl w:val="90162596"/>
    <w:lvl w:ilvl="0" w:tplc="A1A49FC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D6B91"/>
    <w:multiLevelType w:val="hybridMultilevel"/>
    <w:tmpl w:val="F540359A"/>
    <w:lvl w:ilvl="0" w:tplc="A3CE8A4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E0A66"/>
    <w:multiLevelType w:val="multilevel"/>
    <w:tmpl w:val="160C131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366025"/>
    <w:multiLevelType w:val="hybridMultilevel"/>
    <w:tmpl w:val="4616283A"/>
    <w:lvl w:ilvl="0" w:tplc="18385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5557E"/>
    <w:multiLevelType w:val="hybridMultilevel"/>
    <w:tmpl w:val="F1F63522"/>
    <w:lvl w:ilvl="0" w:tplc="B8DC68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F5"/>
    <w:rsid w:val="00066D76"/>
    <w:rsid w:val="001550BC"/>
    <w:rsid w:val="001A33F7"/>
    <w:rsid w:val="001E28B2"/>
    <w:rsid w:val="002C11C7"/>
    <w:rsid w:val="00383CDB"/>
    <w:rsid w:val="005D2A84"/>
    <w:rsid w:val="006132B9"/>
    <w:rsid w:val="0072320C"/>
    <w:rsid w:val="00732373"/>
    <w:rsid w:val="007570B8"/>
    <w:rsid w:val="007A7D33"/>
    <w:rsid w:val="00847D9C"/>
    <w:rsid w:val="00891A90"/>
    <w:rsid w:val="008C10BB"/>
    <w:rsid w:val="009070C1"/>
    <w:rsid w:val="009E69F5"/>
    <w:rsid w:val="00B500FC"/>
    <w:rsid w:val="00BA134F"/>
    <w:rsid w:val="00C152E0"/>
    <w:rsid w:val="00C65CBA"/>
    <w:rsid w:val="00CD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BF8"/>
  <w15:chartTrackingRefBased/>
  <w15:docId w15:val="{FB1F0A9D-26BC-450D-802C-CEB3966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A7D33"/>
    <w:pPr>
      <w:keepNext/>
      <w:keepLines/>
      <w:numPr>
        <w:numId w:val="6"/>
      </w:numPr>
      <w:spacing w:after="0" w:line="240" w:lineRule="auto"/>
      <w:ind w:left="360" w:hanging="360"/>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7A7D33"/>
    <w:pPr>
      <w:keepNext/>
      <w:keepLines/>
      <w:tabs>
        <w:tab w:val="num" w:pos="720"/>
      </w:tabs>
      <w:spacing w:after="0" w:line="240" w:lineRule="auto"/>
      <w:ind w:left="720" w:hanging="360"/>
      <w:outlineLvl w:val="1"/>
    </w:pPr>
    <w:rPr>
      <w:rFonts w:ascii="Times New Roman" w:eastAsiaTheme="majorEastAsia" w:hAnsi="Times New Roman" w:cstheme="majorBidi"/>
      <w:szCs w:val="26"/>
    </w:rPr>
  </w:style>
  <w:style w:type="paragraph" w:styleId="Heading3">
    <w:name w:val="heading 3"/>
    <w:basedOn w:val="Normal"/>
    <w:next w:val="Normal"/>
    <w:link w:val="Heading3Char"/>
    <w:autoRedefine/>
    <w:uiPriority w:val="9"/>
    <w:semiHidden/>
    <w:unhideWhenUsed/>
    <w:qFormat/>
    <w:rsid w:val="007A7D33"/>
    <w:pPr>
      <w:keepNext/>
      <w:keepLines/>
      <w:tabs>
        <w:tab w:val="num" w:pos="720"/>
      </w:tabs>
      <w:spacing w:after="0" w:line="240" w:lineRule="auto"/>
      <w:ind w:left="1080" w:hanging="360"/>
      <w:outlineLvl w:val="2"/>
    </w:pPr>
    <w:rPr>
      <w:rFonts w:ascii="Times New Roman" w:eastAsiaTheme="majorEastAsia" w:hAnsi="Times New Roman"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D33"/>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semiHidden/>
    <w:rsid w:val="007A7D33"/>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semiHidden/>
    <w:rsid w:val="007A7D33"/>
    <w:rPr>
      <w:rFonts w:ascii="Times New Roman" w:eastAsiaTheme="majorEastAsia" w:hAnsi="Times New Roman" w:cstheme="majorBidi"/>
    </w:rPr>
  </w:style>
  <w:style w:type="paragraph" w:customStyle="1" w:styleId="IndentedQuote">
    <w:name w:val="IndentedQuote"/>
    <w:basedOn w:val="Normal"/>
    <w:autoRedefine/>
    <w:qFormat/>
    <w:rsid w:val="00BA134F"/>
    <w:pPr>
      <w:spacing w:after="240" w:line="240" w:lineRule="auto"/>
      <w:ind w:left="720" w:right="720"/>
    </w:pPr>
    <w:rPr>
      <w:rFonts w:ascii="Garamond" w:hAnsi="Garamond"/>
      <w:sz w:val="24"/>
      <w:szCs w:val="24"/>
    </w:rPr>
  </w:style>
  <w:style w:type="paragraph" w:styleId="ListParagraph">
    <w:name w:val="List Paragraph"/>
    <w:basedOn w:val="Normal"/>
    <w:uiPriority w:val="34"/>
    <w:qFormat/>
    <w:rsid w:val="009E69F5"/>
    <w:pPr>
      <w:ind w:left="720"/>
      <w:contextualSpacing/>
    </w:pPr>
  </w:style>
  <w:style w:type="table" w:styleId="TableGrid">
    <w:name w:val="Table Grid"/>
    <w:basedOn w:val="TableNormal"/>
    <w:uiPriority w:val="39"/>
    <w:rsid w:val="0006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931">
      <w:bodyDiv w:val="1"/>
      <w:marLeft w:val="0"/>
      <w:marRight w:val="0"/>
      <w:marTop w:val="0"/>
      <w:marBottom w:val="0"/>
      <w:divBdr>
        <w:top w:val="none" w:sz="0" w:space="0" w:color="auto"/>
        <w:left w:val="none" w:sz="0" w:space="0" w:color="auto"/>
        <w:bottom w:val="none" w:sz="0" w:space="0" w:color="auto"/>
        <w:right w:val="none" w:sz="0" w:space="0" w:color="auto"/>
      </w:divBdr>
    </w:div>
    <w:div w:id="40903024">
      <w:bodyDiv w:val="1"/>
      <w:marLeft w:val="0"/>
      <w:marRight w:val="0"/>
      <w:marTop w:val="0"/>
      <w:marBottom w:val="0"/>
      <w:divBdr>
        <w:top w:val="none" w:sz="0" w:space="0" w:color="auto"/>
        <w:left w:val="none" w:sz="0" w:space="0" w:color="auto"/>
        <w:bottom w:val="none" w:sz="0" w:space="0" w:color="auto"/>
        <w:right w:val="none" w:sz="0" w:space="0" w:color="auto"/>
      </w:divBdr>
    </w:div>
    <w:div w:id="231160307">
      <w:bodyDiv w:val="1"/>
      <w:marLeft w:val="0"/>
      <w:marRight w:val="0"/>
      <w:marTop w:val="0"/>
      <w:marBottom w:val="0"/>
      <w:divBdr>
        <w:top w:val="none" w:sz="0" w:space="0" w:color="auto"/>
        <w:left w:val="none" w:sz="0" w:space="0" w:color="auto"/>
        <w:bottom w:val="none" w:sz="0" w:space="0" w:color="auto"/>
        <w:right w:val="none" w:sz="0" w:space="0" w:color="auto"/>
      </w:divBdr>
    </w:div>
    <w:div w:id="654379229">
      <w:bodyDiv w:val="1"/>
      <w:marLeft w:val="0"/>
      <w:marRight w:val="0"/>
      <w:marTop w:val="0"/>
      <w:marBottom w:val="0"/>
      <w:divBdr>
        <w:top w:val="none" w:sz="0" w:space="0" w:color="auto"/>
        <w:left w:val="none" w:sz="0" w:space="0" w:color="auto"/>
        <w:bottom w:val="none" w:sz="0" w:space="0" w:color="auto"/>
        <w:right w:val="none" w:sz="0" w:space="0" w:color="auto"/>
      </w:divBdr>
    </w:div>
    <w:div w:id="761150018">
      <w:bodyDiv w:val="1"/>
      <w:marLeft w:val="0"/>
      <w:marRight w:val="0"/>
      <w:marTop w:val="0"/>
      <w:marBottom w:val="0"/>
      <w:divBdr>
        <w:top w:val="none" w:sz="0" w:space="0" w:color="auto"/>
        <w:left w:val="none" w:sz="0" w:space="0" w:color="auto"/>
        <w:bottom w:val="none" w:sz="0" w:space="0" w:color="auto"/>
        <w:right w:val="none" w:sz="0" w:space="0" w:color="auto"/>
      </w:divBdr>
    </w:div>
    <w:div w:id="784542405">
      <w:bodyDiv w:val="1"/>
      <w:marLeft w:val="0"/>
      <w:marRight w:val="0"/>
      <w:marTop w:val="0"/>
      <w:marBottom w:val="0"/>
      <w:divBdr>
        <w:top w:val="none" w:sz="0" w:space="0" w:color="auto"/>
        <w:left w:val="none" w:sz="0" w:space="0" w:color="auto"/>
        <w:bottom w:val="none" w:sz="0" w:space="0" w:color="auto"/>
        <w:right w:val="none" w:sz="0" w:space="0" w:color="auto"/>
      </w:divBdr>
    </w:div>
    <w:div w:id="879784178">
      <w:bodyDiv w:val="1"/>
      <w:marLeft w:val="0"/>
      <w:marRight w:val="0"/>
      <w:marTop w:val="0"/>
      <w:marBottom w:val="0"/>
      <w:divBdr>
        <w:top w:val="none" w:sz="0" w:space="0" w:color="auto"/>
        <w:left w:val="none" w:sz="0" w:space="0" w:color="auto"/>
        <w:bottom w:val="none" w:sz="0" w:space="0" w:color="auto"/>
        <w:right w:val="none" w:sz="0" w:space="0" w:color="auto"/>
      </w:divBdr>
    </w:div>
    <w:div w:id="1165509980">
      <w:bodyDiv w:val="1"/>
      <w:marLeft w:val="0"/>
      <w:marRight w:val="0"/>
      <w:marTop w:val="0"/>
      <w:marBottom w:val="0"/>
      <w:divBdr>
        <w:top w:val="none" w:sz="0" w:space="0" w:color="auto"/>
        <w:left w:val="none" w:sz="0" w:space="0" w:color="auto"/>
        <w:bottom w:val="none" w:sz="0" w:space="0" w:color="auto"/>
        <w:right w:val="none" w:sz="0" w:space="0" w:color="auto"/>
      </w:divBdr>
    </w:div>
    <w:div w:id="1267883604">
      <w:bodyDiv w:val="1"/>
      <w:marLeft w:val="0"/>
      <w:marRight w:val="0"/>
      <w:marTop w:val="0"/>
      <w:marBottom w:val="0"/>
      <w:divBdr>
        <w:top w:val="none" w:sz="0" w:space="0" w:color="auto"/>
        <w:left w:val="none" w:sz="0" w:space="0" w:color="auto"/>
        <w:bottom w:val="none" w:sz="0" w:space="0" w:color="auto"/>
        <w:right w:val="none" w:sz="0" w:space="0" w:color="auto"/>
      </w:divBdr>
    </w:div>
    <w:div w:id="1524248618">
      <w:bodyDiv w:val="1"/>
      <w:marLeft w:val="0"/>
      <w:marRight w:val="0"/>
      <w:marTop w:val="0"/>
      <w:marBottom w:val="0"/>
      <w:divBdr>
        <w:top w:val="none" w:sz="0" w:space="0" w:color="auto"/>
        <w:left w:val="none" w:sz="0" w:space="0" w:color="auto"/>
        <w:bottom w:val="none" w:sz="0" w:space="0" w:color="auto"/>
        <w:right w:val="none" w:sz="0" w:space="0" w:color="auto"/>
      </w:divBdr>
    </w:div>
    <w:div w:id="1550386279">
      <w:bodyDiv w:val="1"/>
      <w:marLeft w:val="0"/>
      <w:marRight w:val="0"/>
      <w:marTop w:val="0"/>
      <w:marBottom w:val="0"/>
      <w:divBdr>
        <w:top w:val="none" w:sz="0" w:space="0" w:color="auto"/>
        <w:left w:val="none" w:sz="0" w:space="0" w:color="auto"/>
        <w:bottom w:val="none" w:sz="0" w:space="0" w:color="auto"/>
        <w:right w:val="none" w:sz="0" w:space="0" w:color="auto"/>
      </w:divBdr>
    </w:div>
    <w:div w:id="1555895651">
      <w:bodyDiv w:val="1"/>
      <w:marLeft w:val="0"/>
      <w:marRight w:val="0"/>
      <w:marTop w:val="0"/>
      <w:marBottom w:val="0"/>
      <w:divBdr>
        <w:top w:val="none" w:sz="0" w:space="0" w:color="auto"/>
        <w:left w:val="none" w:sz="0" w:space="0" w:color="auto"/>
        <w:bottom w:val="none" w:sz="0" w:space="0" w:color="auto"/>
        <w:right w:val="none" w:sz="0" w:space="0" w:color="auto"/>
      </w:divBdr>
    </w:div>
    <w:div w:id="1776973029">
      <w:bodyDiv w:val="1"/>
      <w:marLeft w:val="0"/>
      <w:marRight w:val="0"/>
      <w:marTop w:val="0"/>
      <w:marBottom w:val="0"/>
      <w:divBdr>
        <w:top w:val="none" w:sz="0" w:space="0" w:color="auto"/>
        <w:left w:val="none" w:sz="0" w:space="0" w:color="auto"/>
        <w:bottom w:val="none" w:sz="0" w:space="0" w:color="auto"/>
        <w:right w:val="none" w:sz="0" w:space="0" w:color="auto"/>
      </w:divBdr>
    </w:div>
    <w:div w:id="1854418461">
      <w:bodyDiv w:val="1"/>
      <w:marLeft w:val="0"/>
      <w:marRight w:val="0"/>
      <w:marTop w:val="0"/>
      <w:marBottom w:val="0"/>
      <w:divBdr>
        <w:top w:val="none" w:sz="0" w:space="0" w:color="auto"/>
        <w:left w:val="none" w:sz="0" w:space="0" w:color="auto"/>
        <w:bottom w:val="none" w:sz="0" w:space="0" w:color="auto"/>
        <w:right w:val="none" w:sz="0" w:space="0" w:color="auto"/>
      </w:divBdr>
    </w:div>
    <w:div w:id="1889490951">
      <w:bodyDiv w:val="1"/>
      <w:marLeft w:val="0"/>
      <w:marRight w:val="0"/>
      <w:marTop w:val="0"/>
      <w:marBottom w:val="0"/>
      <w:divBdr>
        <w:top w:val="none" w:sz="0" w:space="0" w:color="auto"/>
        <w:left w:val="none" w:sz="0" w:space="0" w:color="auto"/>
        <w:bottom w:val="none" w:sz="0" w:space="0" w:color="auto"/>
        <w:right w:val="none" w:sz="0" w:space="0" w:color="auto"/>
      </w:divBdr>
    </w:div>
    <w:div w:id="20803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Amy Robertson</cp:lastModifiedBy>
  <cp:revision>3</cp:revision>
  <dcterms:created xsi:type="dcterms:W3CDTF">2018-02-06T11:33:00Z</dcterms:created>
  <dcterms:modified xsi:type="dcterms:W3CDTF">2018-02-06T12:14:00Z</dcterms:modified>
</cp:coreProperties>
</file>